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45AC" w14:textId="1C74A723" w:rsidR="005B6B97" w:rsidRPr="00982BB3" w:rsidRDefault="005B6B97" w:rsidP="005B6B97">
      <w:pPr>
        <w:rPr>
          <w:b/>
          <w:bCs/>
          <w:color w:val="3A7C22" w:themeColor="accent6" w:themeShade="BF"/>
        </w:rPr>
      </w:pPr>
      <w:r w:rsidRPr="00982BB3">
        <w:rPr>
          <w:b/>
          <w:bCs/>
          <w:color w:val="3A7C22" w:themeColor="accent6" w:themeShade="BF"/>
        </w:rPr>
        <w:t>Centre for Integrative Medical Training</w:t>
      </w:r>
      <w:r w:rsidRPr="00982BB3">
        <w:rPr>
          <w:b/>
          <w:bCs/>
          <w:color w:val="3A7C22" w:themeColor="accent6" w:themeShade="BF"/>
        </w:rPr>
        <w:t xml:space="preserve"> – FOUNDATION Course Prospectus 2026-27</w:t>
      </w:r>
    </w:p>
    <w:p w14:paraId="048D37EB" w14:textId="2066516B" w:rsidR="005B6B97" w:rsidRPr="005B6B97" w:rsidRDefault="005B6B97" w:rsidP="005B6B97">
      <w:pPr>
        <w:rPr>
          <w:i/>
          <w:iCs/>
          <w:sz w:val="22"/>
          <w:szCs w:val="22"/>
        </w:rPr>
      </w:pPr>
      <w:r w:rsidRPr="005B6B97">
        <w:rPr>
          <w:i/>
          <w:iCs/>
          <w:sz w:val="22"/>
          <w:szCs w:val="22"/>
        </w:rPr>
        <w:t>Accredited by the Faculty of Homeopathy</w:t>
      </w:r>
    </w:p>
    <w:p w14:paraId="20A06DAA" w14:textId="7971245F" w:rsidR="005B6B97" w:rsidRPr="005B6B97" w:rsidRDefault="005B6B97" w:rsidP="005B6B97">
      <w:r w:rsidRPr="005B6B97">
        <w:pict w14:anchorId="78C63C72">
          <v:rect id="_x0000_i1073" style="width:0;height:.75pt" o:hralign="center" o:hrstd="t" o:hr="t" fillcolor="#a0a0a0" stroked="f"/>
        </w:pict>
      </w:r>
    </w:p>
    <w:p w14:paraId="459BC70F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Course Overview</w:t>
      </w:r>
    </w:p>
    <w:p w14:paraId="136B6345" w14:textId="77777777" w:rsidR="005B6B97" w:rsidRDefault="005B6B97" w:rsidP="005B6B97">
      <w:r w:rsidRPr="005B6B97">
        <w:t xml:space="preserve">The </w:t>
      </w:r>
      <w:r w:rsidRPr="005B6B97">
        <w:rPr>
          <w:b/>
          <w:bCs/>
        </w:rPr>
        <w:t>Online Foundation Course in Medical Homeopathy</w:t>
      </w:r>
      <w:r w:rsidRPr="005B6B97">
        <w:t xml:space="preserve"> is uniquely designed for modern healthcare professionals looking to expand their therapeutic repertoire</w:t>
      </w:r>
      <w:r>
        <w:t>.</w:t>
      </w:r>
    </w:p>
    <w:p w14:paraId="04305C0D" w14:textId="62432EC4" w:rsidR="005B6B97" w:rsidRPr="005B6B97" w:rsidRDefault="005B6B97" w:rsidP="005B6B97">
      <w:r w:rsidRPr="005B6B97">
        <w:t>By integrating naturally sourced medicines, this course respects the established principles of human biology while preserving a person-centred ethos in healthcare</w:t>
      </w:r>
      <w:r>
        <w:t>.</w:t>
      </w:r>
    </w:p>
    <w:p w14:paraId="4E480AC8" w14:textId="3A89665C" w:rsidR="005B6B97" w:rsidRPr="005B6B97" w:rsidRDefault="005B6B97" w:rsidP="005B6B97">
      <w:r w:rsidRPr="005B6B97">
        <w:t>Practitioners who complete this accredited training can effectively support self-healing, reduce medical harm, mitigate cascade prescribing and contribute directly to reductions in antibiotic use</w:t>
      </w:r>
      <w:r>
        <w:t>.</w:t>
      </w:r>
    </w:p>
    <w:p w14:paraId="3CD26D01" w14:textId="77777777" w:rsidR="005B6B97" w:rsidRPr="005B6B97" w:rsidRDefault="005B6B97" w:rsidP="005B6B97">
      <w:r w:rsidRPr="005B6B97">
        <w:pict w14:anchorId="6809DA7F">
          <v:rect id="_x0000_i1074" style="width:0;height:.75pt" o:hralign="center" o:hrstd="t" o:hr="t" fillcolor="#a0a0a0" stroked="f"/>
        </w:pict>
      </w:r>
    </w:p>
    <w:p w14:paraId="6FAC8ABD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Key Educational Aims &amp; Core Competencies</w:t>
      </w:r>
    </w:p>
    <w:p w14:paraId="49536A86" w14:textId="31C8DEC0" w:rsidR="005B6B97" w:rsidRPr="005B6B97" w:rsidRDefault="005B6B97" w:rsidP="005B6B97">
      <w:r w:rsidRPr="005B6B97">
        <w:t xml:space="preserve">The curriculum delivers balanced, informed and practical knowledge regarding what homeopathy can and cannot do. </w:t>
      </w:r>
      <w:r>
        <w:t xml:space="preserve">Our course </w:t>
      </w:r>
      <w:r w:rsidRPr="005B6B97">
        <w:t xml:space="preserve">specifically </w:t>
      </w:r>
      <w:r w:rsidRPr="005B6B97">
        <w:t>focusses</w:t>
      </w:r>
      <w:r w:rsidRPr="005B6B97">
        <w:t xml:space="preserve"> on instructing and assessing four core </w:t>
      </w:r>
      <w:proofErr w:type="gramStart"/>
      <w:r w:rsidRPr="005B6B97">
        <w:t>skill-sets</w:t>
      </w:r>
      <w:proofErr w:type="gramEnd"/>
      <w:r w:rsidRPr="005B6B97">
        <w:t>:</w:t>
      </w:r>
    </w:p>
    <w:p w14:paraId="202A65E2" w14:textId="71E9C847" w:rsidR="005B6B97" w:rsidRPr="005B6B97" w:rsidRDefault="005B6B97" w:rsidP="005B6B97">
      <w:pPr>
        <w:numPr>
          <w:ilvl w:val="0"/>
          <w:numId w:val="1"/>
        </w:numPr>
      </w:pPr>
      <w:r w:rsidRPr="005B6B97">
        <w:rPr>
          <w:b/>
          <w:bCs/>
        </w:rPr>
        <w:t>Anamnesis</w:t>
      </w:r>
      <w:r w:rsidRPr="005B6B97">
        <w:t xml:space="preserve"> (Holistic medical history-taking)</w:t>
      </w:r>
    </w:p>
    <w:p w14:paraId="1593425B" w14:textId="36E63FD2" w:rsidR="005B6B97" w:rsidRPr="005B6B97" w:rsidRDefault="005B6B97" w:rsidP="005B6B97">
      <w:pPr>
        <w:numPr>
          <w:ilvl w:val="0"/>
          <w:numId w:val="1"/>
        </w:numPr>
      </w:pPr>
      <w:r w:rsidRPr="005B6B97">
        <w:rPr>
          <w:b/>
          <w:bCs/>
        </w:rPr>
        <w:t>Analysis</w:t>
      </w:r>
      <w:r w:rsidRPr="005B6B97">
        <w:t xml:space="preserve"> (Individualising case clinical data)</w:t>
      </w:r>
    </w:p>
    <w:p w14:paraId="4D6559D3" w14:textId="3FFD1563" w:rsidR="005B6B97" w:rsidRPr="005B6B97" w:rsidRDefault="005B6B97" w:rsidP="005B6B97">
      <w:pPr>
        <w:numPr>
          <w:ilvl w:val="0"/>
          <w:numId w:val="1"/>
        </w:numPr>
      </w:pPr>
      <w:r w:rsidRPr="005B6B97">
        <w:rPr>
          <w:b/>
          <w:bCs/>
        </w:rPr>
        <w:t>Treatment</w:t>
      </w:r>
      <w:r w:rsidRPr="005B6B97">
        <w:t xml:space="preserve"> (Developing appropriate homeopathic prescribing strategies)</w:t>
      </w:r>
    </w:p>
    <w:p w14:paraId="4433D968" w14:textId="0A812934" w:rsidR="005B6B97" w:rsidRPr="005B6B97" w:rsidRDefault="005B6B97" w:rsidP="005B6B97">
      <w:pPr>
        <w:numPr>
          <w:ilvl w:val="0"/>
          <w:numId w:val="1"/>
        </w:numPr>
      </w:pPr>
      <w:r w:rsidRPr="005B6B97">
        <w:rPr>
          <w:b/>
          <w:bCs/>
        </w:rPr>
        <w:t>Follow-up</w:t>
      </w:r>
      <w:r w:rsidRPr="005B6B97">
        <w:t xml:space="preserve"> (Evaluating patient response to treatment and </w:t>
      </w:r>
      <w:r>
        <w:t>negotiating an effective treatment pathway)</w:t>
      </w:r>
    </w:p>
    <w:p w14:paraId="142837E3" w14:textId="77777777" w:rsidR="005B6B97" w:rsidRPr="005B6B97" w:rsidRDefault="005B6B97" w:rsidP="005B6B97">
      <w:r w:rsidRPr="005B6B97">
        <w:pict w14:anchorId="5D10285B">
          <v:rect id="_x0000_i1075" style="width:0;height:.75pt" o:hralign="center" o:hrstd="t" o:hr="t" fillcolor="#a0a0a0" stroked="f"/>
        </w:pict>
      </w:r>
    </w:p>
    <w:p w14:paraId="65F4AF6B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Course Structure &amp; Duration</w:t>
      </w:r>
    </w:p>
    <w:p w14:paraId="76FA7F4C" w14:textId="0C6750C8" w:rsidR="005B6B97" w:rsidRPr="005B6B97" w:rsidRDefault="005B6B97" w:rsidP="005B6B97">
      <w:pPr>
        <w:numPr>
          <w:ilvl w:val="0"/>
          <w:numId w:val="2"/>
        </w:numPr>
      </w:pPr>
      <w:r w:rsidRPr="005B6B97">
        <w:rPr>
          <w:b/>
          <w:bCs/>
        </w:rPr>
        <w:t>Total Units:</w:t>
      </w:r>
      <w:r w:rsidRPr="005B6B97">
        <w:t xml:space="preserve"> 20 distinct study modules</w:t>
      </w:r>
      <w:r w:rsidR="00982BB3">
        <w:t xml:space="preserve"> taken over 5 months</w:t>
      </w:r>
    </w:p>
    <w:p w14:paraId="02F2883D" w14:textId="5B86150A" w:rsidR="005B6B97" w:rsidRPr="005B6B97" w:rsidRDefault="005B6B97" w:rsidP="005B6B97">
      <w:pPr>
        <w:numPr>
          <w:ilvl w:val="0"/>
          <w:numId w:val="2"/>
        </w:numPr>
      </w:pPr>
      <w:r w:rsidRPr="005B6B97">
        <w:rPr>
          <w:b/>
          <w:bCs/>
        </w:rPr>
        <w:t>Weekly Commitment:</w:t>
      </w:r>
      <w:r w:rsidRPr="005B6B97">
        <w:t xml:space="preserve"> </w:t>
      </w:r>
      <w:r w:rsidR="00982BB3">
        <w:t xml:space="preserve">approx. </w:t>
      </w:r>
      <w:r w:rsidRPr="005B6B97">
        <w:t>3 hours of focused home-study plus 1 optional hour of parallel reading per unit.</w:t>
      </w:r>
    </w:p>
    <w:p w14:paraId="2D6148EE" w14:textId="15CF808F" w:rsidR="005B6B97" w:rsidRPr="005B6B97" w:rsidRDefault="005B6B97" w:rsidP="005B6B97">
      <w:pPr>
        <w:numPr>
          <w:ilvl w:val="0"/>
          <w:numId w:val="2"/>
        </w:numPr>
      </w:pPr>
      <w:r w:rsidRPr="005B6B97">
        <w:rPr>
          <w:b/>
          <w:bCs/>
        </w:rPr>
        <w:t>Format:</w:t>
      </w:r>
      <w:r w:rsidRPr="005B6B97">
        <w:t xml:space="preserve"> Self-paced interactive learning supported by live, monthly Zoom Q&amp;A tutorials hosted by experienced clinical tutors.</w:t>
      </w:r>
    </w:p>
    <w:p w14:paraId="083791DB" w14:textId="5AB4CA76" w:rsidR="005B6B97" w:rsidRPr="005B6B97" w:rsidRDefault="005B6B97" w:rsidP="005B6B97">
      <w:pPr>
        <w:numPr>
          <w:ilvl w:val="0"/>
          <w:numId w:val="2"/>
        </w:numPr>
      </w:pPr>
      <w:r w:rsidRPr="005B6B97">
        <w:rPr>
          <w:b/>
          <w:bCs/>
        </w:rPr>
        <w:t>Pacing &amp; Breaks:</w:t>
      </w:r>
      <w:r w:rsidRPr="005B6B97">
        <w:t xml:space="preserve"> Featur</w:t>
      </w:r>
      <w:r w:rsidR="00982BB3">
        <w:t>ing</w:t>
      </w:r>
      <w:r w:rsidRPr="005B6B97">
        <w:t xml:space="preserve"> </w:t>
      </w:r>
      <w:r w:rsidR="00982BB3">
        <w:t>two</w:t>
      </w:r>
      <w:r w:rsidRPr="005B6B97">
        <w:t xml:space="preserve"> designated reading weeks built directly into the schedule for revision, catch-up, and study breaks.</w:t>
      </w:r>
    </w:p>
    <w:p w14:paraId="56E33C4C" w14:textId="525FF543" w:rsidR="005B6B97" w:rsidRPr="005B6B97" w:rsidRDefault="00982BB3" w:rsidP="005B6B97">
      <w:pPr>
        <w:numPr>
          <w:ilvl w:val="1"/>
          <w:numId w:val="2"/>
        </w:numPr>
      </w:pPr>
      <w:r>
        <w:rPr>
          <w:i/>
          <w:iCs/>
        </w:rPr>
        <w:t>May</w:t>
      </w:r>
      <w:r w:rsidR="005B6B97" w:rsidRPr="005B6B97">
        <w:rPr>
          <w:i/>
          <w:iCs/>
        </w:rPr>
        <w:t xml:space="preserve"> Intake:</w:t>
      </w:r>
      <w:r w:rsidR="005B6B97" w:rsidRPr="005B6B97">
        <w:t xml:space="preserve"> Reading weeks fall in July.</w:t>
      </w:r>
    </w:p>
    <w:p w14:paraId="668D2339" w14:textId="57A3D28A" w:rsidR="005B6B97" w:rsidRPr="005B6B97" w:rsidRDefault="005B6B97" w:rsidP="005B6B97">
      <w:pPr>
        <w:numPr>
          <w:ilvl w:val="1"/>
          <w:numId w:val="2"/>
        </w:numPr>
      </w:pPr>
      <w:r w:rsidRPr="005B6B97">
        <w:rPr>
          <w:i/>
          <w:iCs/>
        </w:rPr>
        <w:t>September Intake:</w:t>
      </w:r>
      <w:r w:rsidRPr="005B6B97">
        <w:t xml:space="preserve"> Reading weeks fall in October and December.</w:t>
      </w:r>
    </w:p>
    <w:p w14:paraId="4F8D25F6" w14:textId="77777777" w:rsidR="005B6B97" w:rsidRPr="005B6B97" w:rsidRDefault="005B6B97" w:rsidP="005B6B97">
      <w:r w:rsidRPr="005B6B97">
        <w:lastRenderedPageBreak/>
        <w:pict w14:anchorId="4FE90C51">
          <v:rect id="_x0000_i1076" style="width:0;height:.75pt" o:hralign="center" o:hrstd="t" o:hr="t" fillcolor="#a0a0a0" stroked="f"/>
        </w:pict>
      </w:r>
    </w:p>
    <w:p w14:paraId="74F6298D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Foundation Curriculum Modules</w:t>
      </w:r>
    </w:p>
    <w:p w14:paraId="22A5089A" w14:textId="77777777" w:rsidR="005B6B97" w:rsidRPr="005B6B97" w:rsidRDefault="005B6B97" w:rsidP="005B6B97">
      <w:pPr>
        <w:rPr>
          <w:b/>
          <w:bCs/>
        </w:rPr>
      </w:pPr>
      <w:r w:rsidRPr="005B6B97">
        <w:rPr>
          <w:b/>
          <w:bCs/>
        </w:rPr>
        <w:t>Units 1 – 5: Foundational Principles &amp; Initial Sourcing</w:t>
      </w:r>
    </w:p>
    <w:p w14:paraId="3047B185" w14:textId="4CA9B0CC" w:rsidR="005B6B97" w:rsidRPr="005B6B97" w:rsidRDefault="005B6B97" w:rsidP="005B6B97">
      <w:pPr>
        <w:numPr>
          <w:ilvl w:val="0"/>
          <w:numId w:val="3"/>
        </w:numPr>
      </w:pPr>
      <w:r w:rsidRPr="005B6B97">
        <w:rPr>
          <w:b/>
          <w:bCs/>
        </w:rPr>
        <w:t>Unit 1:</w:t>
      </w:r>
      <w:r w:rsidRPr="005B6B97">
        <w:t xml:space="preserve"> General Introduction, Video Case Tutorial, Homeopathic Pharmacy, Materia medica of </w:t>
      </w:r>
      <w:r w:rsidRPr="005B6B97">
        <w:rPr>
          <w:i/>
          <w:iCs/>
        </w:rPr>
        <w:t xml:space="preserve">Arnica </w:t>
      </w:r>
      <w:proofErr w:type="spellStart"/>
      <w:proofErr w:type="gramStart"/>
      <w:r w:rsidRPr="005B6B97">
        <w:rPr>
          <w:i/>
          <w:iCs/>
        </w:rPr>
        <w:t>montana</w:t>
      </w:r>
      <w:proofErr w:type="spellEnd"/>
      <w:r w:rsidRPr="005B6B97">
        <w:t xml:space="preserve"> .</w:t>
      </w:r>
      <w:proofErr w:type="gramEnd"/>
    </w:p>
    <w:p w14:paraId="49721049" w14:textId="1A63300C" w:rsidR="005B6B97" w:rsidRPr="005B6B97" w:rsidRDefault="005B6B97" w:rsidP="005B6B97">
      <w:pPr>
        <w:numPr>
          <w:ilvl w:val="0"/>
          <w:numId w:val="3"/>
        </w:numPr>
      </w:pPr>
      <w:r w:rsidRPr="005B6B97">
        <w:rPr>
          <w:b/>
          <w:bCs/>
        </w:rPr>
        <w:t>Unit 2:</w:t>
      </w:r>
      <w:r w:rsidRPr="005B6B97">
        <w:t xml:space="preserve"> History of Homeopathy, Introduction to Isopathy, Stocking &amp; Dispensing Remedies, Materia medica of </w:t>
      </w:r>
      <w:proofErr w:type="spellStart"/>
      <w:r w:rsidRPr="005B6B97">
        <w:rPr>
          <w:i/>
          <w:iCs/>
        </w:rPr>
        <w:t>Arsenicum</w:t>
      </w:r>
      <w:proofErr w:type="spellEnd"/>
      <w:r w:rsidRPr="005B6B97">
        <w:rPr>
          <w:i/>
          <w:iCs/>
        </w:rPr>
        <w:t xml:space="preserve"> album</w:t>
      </w:r>
      <w:r>
        <w:t>.</w:t>
      </w:r>
    </w:p>
    <w:p w14:paraId="37E7999C" w14:textId="208D0DEA" w:rsidR="005B6B97" w:rsidRPr="005B6B97" w:rsidRDefault="005B6B97" w:rsidP="005B6B97">
      <w:pPr>
        <w:numPr>
          <w:ilvl w:val="0"/>
          <w:numId w:val="3"/>
        </w:numPr>
      </w:pPr>
      <w:r w:rsidRPr="005B6B97">
        <w:rPr>
          <w:b/>
          <w:bCs/>
        </w:rPr>
        <w:t>Unit 3:</w:t>
      </w:r>
      <w:r w:rsidRPr="005B6B97">
        <w:t xml:space="preserve"> Introduction to History-Taking, Virtual Case-Taking Exercise, Strange, Rare &amp; Peculiar Symptoms, Materia medica of </w:t>
      </w:r>
      <w:r w:rsidRPr="005B6B97">
        <w:rPr>
          <w:i/>
          <w:iCs/>
        </w:rPr>
        <w:t xml:space="preserve">Cantharis </w:t>
      </w:r>
      <w:proofErr w:type="spellStart"/>
      <w:r w:rsidRPr="005B6B97">
        <w:rPr>
          <w:i/>
          <w:iCs/>
        </w:rPr>
        <w:t>vesicularis</w:t>
      </w:r>
      <w:proofErr w:type="spellEnd"/>
      <w:r w:rsidRPr="005B6B97">
        <w:t>.</w:t>
      </w:r>
    </w:p>
    <w:p w14:paraId="4AFCCE63" w14:textId="3F7C5944" w:rsidR="005B6B97" w:rsidRPr="005B6B97" w:rsidRDefault="005B6B97" w:rsidP="005B6B97">
      <w:pPr>
        <w:numPr>
          <w:ilvl w:val="0"/>
          <w:numId w:val="3"/>
        </w:numPr>
      </w:pPr>
      <w:r w:rsidRPr="005B6B97">
        <w:rPr>
          <w:b/>
          <w:bCs/>
        </w:rPr>
        <w:t>Unit 4:</w:t>
      </w:r>
      <w:r w:rsidRPr="005B6B97">
        <w:t xml:space="preserve"> Research in Homeopathy, Academic Books, Safety, Materia medica of </w:t>
      </w:r>
      <w:r w:rsidRPr="005B6B97">
        <w:rPr>
          <w:i/>
          <w:iCs/>
        </w:rPr>
        <w:t>Ruta</w:t>
      </w:r>
      <w:r w:rsidRPr="005B6B97">
        <w:t xml:space="preserve"> and </w:t>
      </w:r>
      <w:r w:rsidRPr="005B6B97">
        <w:rPr>
          <w:i/>
          <w:iCs/>
        </w:rPr>
        <w:t>Cuprum</w:t>
      </w:r>
      <w:r w:rsidRPr="005B6B97">
        <w:t>.</w:t>
      </w:r>
    </w:p>
    <w:p w14:paraId="5F868833" w14:textId="6F562C13" w:rsidR="005B6B97" w:rsidRPr="005B6B97" w:rsidRDefault="005B6B97" w:rsidP="005B6B97">
      <w:pPr>
        <w:numPr>
          <w:ilvl w:val="0"/>
          <w:numId w:val="3"/>
        </w:numPr>
      </w:pPr>
      <w:r w:rsidRPr="005B6B97">
        <w:rPr>
          <w:b/>
          <w:bCs/>
        </w:rPr>
        <w:t>Unit 5:</w:t>
      </w:r>
      <w:r w:rsidRPr="005B6B97">
        <w:t xml:space="preserve"> Response Patterns, The Concept of Suppression, Topical Preparations, Materia medica of </w:t>
      </w:r>
      <w:r w:rsidRPr="005B6B97">
        <w:rPr>
          <w:i/>
          <w:iCs/>
        </w:rPr>
        <w:t xml:space="preserve">Rhus </w:t>
      </w:r>
      <w:proofErr w:type="spellStart"/>
      <w:r w:rsidRPr="005B6B97">
        <w:rPr>
          <w:i/>
          <w:iCs/>
        </w:rPr>
        <w:t>toxicodendron</w:t>
      </w:r>
      <w:proofErr w:type="spellEnd"/>
      <w:r w:rsidRPr="005B6B97">
        <w:t>.</w:t>
      </w:r>
    </w:p>
    <w:p w14:paraId="4723FD5F" w14:textId="77777777" w:rsidR="005B6B97" w:rsidRPr="005B6B97" w:rsidRDefault="005B6B97" w:rsidP="005B6B97">
      <w:pPr>
        <w:rPr>
          <w:b/>
          <w:bCs/>
        </w:rPr>
      </w:pPr>
      <w:r w:rsidRPr="005B6B97">
        <w:rPr>
          <w:b/>
          <w:bCs/>
        </w:rPr>
        <w:t>Units 6 – 10: Prescribing Strategies &amp; Acute Stress</w:t>
      </w:r>
    </w:p>
    <w:p w14:paraId="4ABBEE1E" w14:textId="6DD545ED" w:rsidR="005B6B97" w:rsidRPr="005B6B97" w:rsidRDefault="005B6B97" w:rsidP="005B6B97">
      <w:pPr>
        <w:numPr>
          <w:ilvl w:val="0"/>
          <w:numId w:val="4"/>
        </w:numPr>
      </w:pPr>
      <w:r w:rsidRPr="005B6B97">
        <w:rPr>
          <w:b/>
          <w:bCs/>
        </w:rPr>
        <w:t>Unit 6:</w:t>
      </w:r>
      <w:r w:rsidRPr="005B6B97">
        <w:t xml:space="preserve"> Prescribing Strategies, The Layered Prescribing Model, Aetiological Prescribing Case Study, Materia medica of </w:t>
      </w:r>
      <w:r w:rsidRPr="005B6B97">
        <w:rPr>
          <w:i/>
          <w:iCs/>
        </w:rPr>
        <w:t>Ledum palustre</w:t>
      </w:r>
      <w:r w:rsidRPr="005B6B97">
        <w:t>.</w:t>
      </w:r>
    </w:p>
    <w:p w14:paraId="26AACF1D" w14:textId="68166401" w:rsidR="005B6B97" w:rsidRPr="005B6B97" w:rsidRDefault="005B6B97" w:rsidP="005B6B97">
      <w:pPr>
        <w:numPr>
          <w:ilvl w:val="0"/>
          <w:numId w:val="4"/>
        </w:numPr>
      </w:pPr>
      <w:r w:rsidRPr="005B6B97">
        <w:rPr>
          <w:b/>
          <w:bCs/>
        </w:rPr>
        <w:t>Unit 7:</w:t>
      </w:r>
      <w:r w:rsidRPr="005B6B97">
        <w:t xml:space="preserve"> The Placebo Response, Aetiological Prescribing (II), Comparative Materia Medica, Prescribing in Acute Stress States.</w:t>
      </w:r>
    </w:p>
    <w:p w14:paraId="01D859B1" w14:textId="476B0E66" w:rsidR="005B6B97" w:rsidRPr="005B6B97" w:rsidRDefault="005B6B97" w:rsidP="005B6B97">
      <w:pPr>
        <w:numPr>
          <w:ilvl w:val="0"/>
          <w:numId w:val="4"/>
        </w:numPr>
      </w:pPr>
      <w:r w:rsidRPr="005B6B97">
        <w:rPr>
          <w:b/>
          <w:bCs/>
        </w:rPr>
        <w:t>Unit 8:</w:t>
      </w:r>
      <w:r w:rsidRPr="005B6B97">
        <w:t xml:space="preserve"> Materia medica of Anxiety States, </w:t>
      </w:r>
      <w:r w:rsidRPr="005B6B97">
        <w:rPr>
          <w:i/>
          <w:iCs/>
        </w:rPr>
        <w:t xml:space="preserve">Argentum </w:t>
      </w:r>
      <w:proofErr w:type="spellStart"/>
      <w:r w:rsidRPr="005B6B97">
        <w:rPr>
          <w:i/>
          <w:iCs/>
        </w:rPr>
        <w:t>nitricum</w:t>
      </w:r>
      <w:proofErr w:type="spellEnd"/>
      <w:r w:rsidRPr="005B6B97">
        <w:t xml:space="preserve">, </w:t>
      </w:r>
      <w:r w:rsidRPr="005B6B97">
        <w:rPr>
          <w:i/>
          <w:iCs/>
        </w:rPr>
        <w:t>Aconitum napellus</w:t>
      </w:r>
      <w:r w:rsidRPr="005B6B97">
        <w:t>, Introduction to the Repertory.</w:t>
      </w:r>
    </w:p>
    <w:p w14:paraId="63F579B8" w14:textId="6E1F47C1" w:rsidR="005B6B97" w:rsidRPr="005B6B97" w:rsidRDefault="005B6B97" w:rsidP="005B6B97">
      <w:pPr>
        <w:numPr>
          <w:ilvl w:val="0"/>
          <w:numId w:val="4"/>
        </w:numPr>
      </w:pPr>
      <w:r w:rsidRPr="005B6B97">
        <w:rPr>
          <w:b/>
          <w:bCs/>
        </w:rPr>
        <w:t>Unit 9:</w:t>
      </w:r>
      <w:r w:rsidRPr="005B6B97">
        <w:t xml:space="preserve"> Materia medica of Grief (</w:t>
      </w:r>
      <w:r w:rsidRPr="005B6B97">
        <w:rPr>
          <w:i/>
          <w:iCs/>
        </w:rPr>
        <w:t xml:space="preserve">Ignatia </w:t>
      </w:r>
      <w:proofErr w:type="spellStart"/>
      <w:r w:rsidRPr="005B6B97">
        <w:rPr>
          <w:i/>
          <w:iCs/>
        </w:rPr>
        <w:t>amara</w:t>
      </w:r>
      <w:proofErr w:type="spellEnd"/>
      <w:r w:rsidRPr="005B6B97">
        <w:t xml:space="preserve">), </w:t>
      </w:r>
      <w:r w:rsidRPr="005B6B97">
        <w:rPr>
          <w:i/>
          <w:iCs/>
        </w:rPr>
        <w:t>Natrum muriaticum</w:t>
      </w:r>
      <w:r w:rsidRPr="005B6B97">
        <w:t xml:space="preserve">, Grief in the Repertory &amp; </w:t>
      </w:r>
      <w:r w:rsidRPr="005B6B97">
        <w:rPr>
          <w:i/>
          <w:iCs/>
        </w:rPr>
        <w:t>Phosphoric acid</w:t>
      </w:r>
      <w:r w:rsidRPr="005B6B97">
        <w:t>, Case Studies and Response Patterns Revised.</w:t>
      </w:r>
    </w:p>
    <w:p w14:paraId="5B4B7E4E" w14:textId="0C2843F2" w:rsidR="005B6B97" w:rsidRPr="005B6B97" w:rsidRDefault="005B6B97" w:rsidP="005B6B97">
      <w:pPr>
        <w:numPr>
          <w:ilvl w:val="0"/>
          <w:numId w:val="4"/>
        </w:numPr>
      </w:pPr>
      <w:r w:rsidRPr="005B6B97">
        <w:rPr>
          <w:b/>
          <w:bCs/>
        </w:rPr>
        <w:t>Unit 10:</w:t>
      </w:r>
      <w:r w:rsidRPr="005B6B97">
        <w:t xml:space="preserve"> Clinical Observation in Paediatric Prescribing, Materia medica of Childhood Acutes I &amp; II, Introduction to Hahnemann's Organon.</w:t>
      </w:r>
    </w:p>
    <w:p w14:paraId="7A396DD8" w14:textId="77777777" w:rsidR="005B6B97" w:rsidRPr="005B6B97" w:rsidRDefault="005B6B97" w:rsidP="005B6B97">
      <w:pPr>
        <w:rPr>
          <w:b/>
          <w:bCs/>
        </w:rPr>
      </w:pPr>
      <w:r w:rsidRPr="005B6B97">
        <w:rPr>
          <w:b/>
          <w:bCs/>
        </w:rPr>
        <w:t>Units 11 – 15: Constitutional Typology &amp; Infection Care</w:t>
      </w:r>
    </w:p>
    <w:p w14:paraId="0837ECCF" w14:textId="7791451B" w:rsidR="005B6B97" w:rsidRPr="005B6B97" w:rsidRDefault="005B6B97" w:rsidP="005B6B97">
      <w:pPr>
        <w:numPr>
          <w:ilvl w:val="0"/>
          <w:numId w:val="5"/>
        </w:numPr>
      </w:pPr>
      <w:r w:rsidRPr="005B6B97">
        <w:rPr>
          <w:b/>
          <w:bCs/>
        </w:rPr>
        <w:t>Unit 11:</w:t>
      </w:r>
      <w:r w:rsidRPr="005B6B97">
        <w:t xml:space="preserve"> Introduction to Constitution, Evolution of Constitutional Thinking, Constitutional Picture of </w:t>
      </w:r>
      <w:r w:rsidRPr="005B6B97">
        <w:rPr>
          <w:i/>
          <w:iCs/>
        </w:rPr>
        <w:t>Sulphur</w:t>
      </w:r>
      <w:r w:rsidRPr="005B6B97">
        <w:t xml:space="preserve"> and its Relations.</w:t>
      </w:r>
    </w:p>
    <w:p w14:paraId="6484860E" w14:textId="2E24A5B1" w:rsidR="005B6B97" w:rsidRPr="005B6B97" w:rsidRDefault="005B6B97" w:rsidP="005B6B97">
      <w:pPr>
        <w:numPr>
          <w:ilvl w:val="0"/>
          <w:numId w:val="5"/>
        </w:numPr>
      </w:pPr>
      <w:r w:rsidRPr="005B6B97">
        <w:rPr>
          <w:b/>
          <w:bCs/>
        </w:rPr>
        <w:t>Unit 12:</w:t>
      </w:r>
      <w:r w:rsidRPr="005B6B97">
        <w:t xml:space="preserve"> Constitutional Picture of </w:t>
      </w:r>
      <w:r w:rsidRPr="005B6B97">
        <w:rPr>
          <w:i/>
          <w:iCs/>
        </w:rPr>
        <w:t>Nux Vomica</w:t>
      </w:r>
      <w:r w:rsidRPr="005B6B97">
        <w:t>, The Angry Patient, Homeopathy and Functional Medicine, Vitalism and Systems-Thinking.</w:t>
      </w:r>
    </w:p>
    <w:p w14:paraId="4B17C484" w14:textId="59E62A42" w:rsidR="005B6B97" w:rsidRPr="005B6B97" w:rsidRDefault="005B6B97" w:rsidP="005B6B97">
      <w:pPr>
        <w:numPr>
          <w:ilvl w:val="0"/>
          <w:numId w:val="5"/>
        </w:numPr>
      </w:pPr>
      <w:r w:rsidRPr="005B6B97">
        <w:rPr>
          <w:b/>
          <w:bCs/>
        </w:rPr>
        <w:t>Unit 13:</w:t>
      </w:r>
      <w:r w:rsidRPr="005B6B97">
        <w:t xml:space="preserve"> Constitutional Picture of </w:t>
      </w:r>
      <w:r w:rsidRPr="005B6B97">
        <w:rPr>
          <w:i/>
          <w:iCs/>
        </w:rPr>
        <w:t>Calc. carb</w:t>
      </w:r>
      <w:r w:rsidRPr="005B6B97">
        <w:t xml:space="preserve">, Mineral Remedies (The Calc Salts), Constitutional Picture of </w:t>
      </w:r>
      <w:r w:rsidRPr="005B6B97">
        <w:rPr>
          <w:i/>
          <w:iCs/>
        </w:rPr>
        <w:t>Pulsatilla</w:t>
      </w:r>
      <w:r w:rsidRPr="005B6B97">
        <w:t>, "The Patient Not the Cure".</w:t>
      </w:r>
    </w:p>
    <w:p w14:paraId="69DAD856" w14:textId="2C5270BE" w:rsidR="005B6B97" w:rsidRPr="005B6B97" w:rsidRDefault="005B6B97" w:rsidP="005B6B97">
      <w:pPr>
        <w:numPr>
          <w:ilvl w:val="0"/>
          <w:numId w:val="5"/>
        </w:numPr>
      </w:pPr>
      <w:r w:rsidRPr="005B6B97">
        <w:rPr>
          <w:b/>
          <w:bCs/>
        </w:rPr>
        <w:t>Unit 14:</w:t>
      </w:r>
      <w:r w:rsidRPr="005B6B97">
        <w:t xml:space="preserve"> Constitutional Picture of </w:t>
      </w:r>
      <w:r w:rsidRPr="005B6B97">
        <w:rPr>
          <w:i/>
          <w:iCs/>
        </w:rPr>
        <w:t>Phosphorus</w:t>
      </w:r>
      <w:r w:rsidRPr="005B6B97">
        <w:t xml:space="preserve">, Validating Constitutional Types, Constitutional Picture of </w:t>
      </w:r>
      <w:r w:rsidRPr="005B6B97">
        <w:rPr>
          <w:i/>
          <w:iCs/>
        </w:rPr>
        <w:t>Sepia</w:t>
      </w:r>
      <w:r w:rsidRPr="005B6B97">
        <w:t>, Introduction to Homeopathy &amp; Infections.</w:t>
      </w:r>
    </w:p>
    <w:p w14:paraId="0BAA5A06" w14:textId="22A3C326" w:rsidR="005B6B97" w:rsidRPr="005B6B97" w:rsidRDefault="005B6B97" w:rsidP="005B6B97">
      <w:pPr>
        <w:numPr>
          <w:ilvl w:val="0"/>
          <w:numId w:val="5"/>
        </w:numPr>
      </w:pPr>
      <w:r w:rsidRPr="005B6B97">
        <w:rPr>
          <w:b/>
          <w:bCs/>
        </w:rPr>
        <w:lastRenderedPageBreak/>
        <w:t>Unit 15:</w:t>
      </w:r>
      <w:r w:rsidRPr="005B6B97">
        <w:t xml:space="preserve"> Perspectives on Infection &amp; Materia medica of </w:t>
      </w:r>
      <w:proofErr w:type="spellStart"/>
      <w:r w:rsidRPr="005B6B97">
        <w:rPr>
          <w:i/>
          <w:iCs/>
        </w:rPr>
        <w:t>Hepar</w:t>
      </w:r>
      <w:proofErr w:type="spellEnd"/>
      <w:r w:rsidRPr="005B6B97">
        <w:rPr>
          <w:i/>
          <w:iCs/>
        </w:rPr>
        <w:t xml:space="preserve"> Sulph</w:t>
      </w:r>
      <w:r w:rsidRPr="005B6B97">
        <w:t xml:space="preserve">, </w:t>
      </w:r>
      <w:r w:rsidRPr="005B6B97">
        <w:rPr>
          <w:i/>
          <w:iCs/>
        </w:rPr>
        <w:t>Silica</w:t>
      </w:r>
      <w:r w:rsidRPr="005B6B97">
        <w:t xml:space="preserve"> (Keynotes and Constitutional Essence), </w:t>
      </w:r>
      <w:r w:rsidRPr="005B6B97">
        <w:rPr>
          <w:i/>
          <w:iCs/>
        </w:rPr>
        <w:t xml:space="preserve">Mercurius </w:t>
      </w:r>
      <w:proofErr w:type="spellStart"/>
      <w:r w:rsidRPr="005B6B97">
        <w:rPr>
          <w:i/>
          <w:iCs/>
        </w:rPr>
        <w:t>solubilis</w:t>
      </w:r>
      <w:proofErr w:type="spellEnd"/>
      <w:r w:rsidRPr="005B6B97">
        <w:t xml:space="preserve"> (Keynotes and Constitutional Essence), Therapeutics of Sore Throats (introducing </w:t>
      </w:r>
      <w:r w:rsidRPr="005B6B97">
        <w:rPr>
          <w:i/>
          <w:iCs/>
        </w:rPr>
        <w:t>Phytolacca</w:t>
      </w:r>
      <w:r w:rsidRPr="005B6B97">
        <w:t xml:space="preserve"> and </w:t>
      </w:r>
      <w:r w:rsidRPr="005B6B97">
        <w:rPr>
          <w:i/>
          <w:iCs/>
        </w:rPr>
        <w:t>Ailanthus</w:t>
      </w:r>
      <w:r w:rsidRPr="005B6B97">
        <w:t>).</w:t>
      </w:r>
    </w:p>
    <w:p w14:paraId="214C588C" w14:textId="77777777" w:rsidR="005B6B97" w:rsidRPr="005B6B97" w:rsidRDefault="005B6B97" w:rsidP="005B6B97">
      <w:pPr>
        <w:rPr>
          <w:b/>
          <w:bCs/>
        </w:rPr>
      </w:pPr>
      <w:r w:rsidRPr="005B6B97">
        <w:rPr>
          <w:b/>
          <w:bCs/>
        </w:rPr>
        <w:t>Units 16 – 20: Advanced Therapeutics &amp; Clinical Support</w:t>
      </w:r>
    </w:p>
    <w:p w14:paraId="08EDA776" w14:textId="1816EB97" w:rsidR="005B6B97" w:rsidRPr="005B6B97" w:rsidRDefault="005B6B97" w:rsidP="005B6B97">
      <w:pPr>
        <w:numPr>
          <w:ilvl w:val="0"/>
          <w:numId w:val="6"/>
        </w:numPr>
      </w:pPr>
      <w:r w:rsidRPr="005B6B97">
        <w:rPr>
          <w:b/>
          <w:bCs/>
        </w:rPr>
        <w:t>Unit 16:</w:t>
      </w:r>
      <w:r w:rsidRPr="005B6B97">
        <w:t xml:space="preserve"> Ethics and Responsibility in Acute Treatments, Therapeutics of Viral Coughs and Colds, </w:t>
      </w:r>
      <w:r w:rsidRPr="005B6B97">
        <w:rPr>
          <w:i/>
          <w:iCs/>
        </w:rPr>
        <w:t xml:space="preserve">Ferrum </w:t>
      </w:r>
      <w:proofErr w:type="spellStart"/>
      <w:r w:rsidRPr="005B6B97">
        <w:rPr>
          <w:i/>
          <w:iCs/>
        </w:rPr>
        <w:t>phos</w:t>
      </w:r>
      <w:proofErr w:type="spellEnd"/>
      <w:r w:rsidRPr="005B6B97">
        <w:t xml:space="preserve"> / </w:t>
      </w:r>
      <w:proofErr w:type="spellStart"/>
      <w:proofErr w:type="gramStart"/>
      <w:r w:rsidRPr="005B6B97">
        <w:rPr>
          <w:i/>
          <w:iCs/>
        </w:rPr>
        <w:t>Gelsemium</w:t>
      </w:r>
      <w:proofErr w:type="spellEnd"/>
      <w:r w:rsidRPr="005B6B97">
        <w:t xml:space="preserve"> </w:t>
      </w:r>
      <w:r>
        <w:t>.</w:t>
      </w:r>
      <w:proofErr w:type="gramEnd"/>
      <w:r>
        <w:t xml:space="preserve"> </w:t>
      </w:r>
      <w:r w:rsidRPr="005B6B97">
        <w:t>Clinical Timing (Rates of Illness Onset), Respiratory Therapeutics Case Studies (SAQ).</w:t>
      </w:r>
    </w:p>
    <w:p w14:paraId="203E20FA" w14:textId="2E00D712" w:rsidR="005B6B97" w:rsidRPr="005B6B97" w:rsidRDefault="005B6B97" w:rsidP="005B6B97">
      <w:pPr>
        <w:numPr>
          <w:ilvl w:val="0"/>
          <w:numId w:val="6"/>
        </w:numPr>
      </w:pPr>
      <w:r w:rsidRPr="005B6B97">
        <w:rPr>
          <w:b/>
          <w:bCs/>
        </w:rPr>
        <w:t>Unit 17:</w:t>
      </w:r>
      <w:r w:rsidRPr="005B6B97">
        <w:t xml:space="preserve"> Viral Infections with Cutaneous Symptoms (Warts, Herpes), </w:t>
      </w:r>
      <w:r w:rsidRPr="005B6B97">
        <w:rPr>
          <w:i/>
          <w:iCs/>
        </w:rPr>
        <w:t>Thuja occidentalis</w:t>
      </w:r>
      <w:r w:rsidRPr="005B6B97">
        <w:t xml:space="preserve"> (Materia medica and Constitutional Notes), </w:t>
      </w:r>
      <w:proofErr w:type="spellStart"/>
      <w:r w:rsidRPr="005B6B97">
        <w:t>Nosodes</w:t>
      </w:r>
      <w:proofErr w:type="spellEnd"/>
      <w:r w:rsidRPr="005B6B97">
        <w:t xml:space="preserve"> in Post-infective States (</w:t>
      </w:r>
      <w:proofErr w:type="spellStart"/>
      <w:r w:rsidRPr="005B6B97">
        <w:rPr>
          <w:i/>
          <w:iCs/>
        </w:rPr>
        <w:t>Sycotic</w:t>
      </w:r>
      <w:proofErr w:type="spellEnd"/>
      <w:r w:rsidRPr="005B6B97">
        <w:rPr>
          <w:i/>
          <w:iCs/>
        </w:rPr>
        <w:t xml:space="preserve"> co.</w:t>
      </w:r>
      <w:r w:rsidRPr="005B6B97">
        <w:t>), Homeopathy in Epidemics and Pandemics.</w:t>
      </w:r>
    </w:p>
    <w:p w14:paraId="0A83D8C3" w14:textId="68199DF7" w:rsidR="005B6B97" w:rsidRPr="005B6B97" w:rsidRDefault="005B6B97" w:rsidP="005B6B97">
      <w:pPr>
        <w:numPr>
          <w:ilvl w:val="0"/>
          <w:numId w:val="6"/>
        </w:numPr>
      </w:pPr>
      <w:r w:rsidRPr="005B6B97">
        <w:rPr>
          <w:b/>
          <w:bCs/>
        </w:rPr>
        <w:t>Unit 18:</w:t>
      </w:r>
      <w:r w:rsidRPr="005B6B97">
        <w:t xml:space="preserve"> </w:t>
      </w:r>
      <w:r w:rsidRPr="005B6B97">
        <w:rPr>
          <w:i/>
          <w:iCs/>
        </w:rPr>
        <w:t xml:space="preserve">Kali </w:t>
      </w:r>
      <w:proofErr w:type="spellStart"/>
      <w:r w:rsidRPr="005B6B97">
        <w:rPr>
          <w:i/>
          <w:iCs/>
        </w:rPr>
        <w:t>bichromicum</w:t>
      </w:r>
      <w:proofErr w:type="spellEnd"/>
      <w:r w:rsidRPr="005B6B97">
        <w:t xml:space="preserve"> Materia Medica, </w:t>
      </w:r>
      <w:proofErr w:type="spellStart"/>
      <w:r w:rsidRPr="005B6B97">
        <w:t>Hayfever</w:t>
      </w:r>
      <w:proofErr w:type="spellEnd"/>
      <w:r w:rsidRPr="005B6B97">
        <w:t xml:space="preserve"> Therapeutic Keynotes, First Aid and Sports Injuries, Injury &amp; </w:t>
      </w:r>
      <w:proofErr w:type="spellStart"/>
      <w:r w:rsidRPr="005B6B97">
        <w:t>Woundcare</w:t>
      </w:r>
      <w:proofErr w:type="spellEnd"/>
      <w:r w:rsidRPr="005B6B97">
        <w:t xml:space="preserve"> I.</w:t>
      </w:r>
    </w:p>
    <w:p w14:paraId="7F1F5E51" w14:textId="57938BDB" w:rsidR="005B6B97" w:rsidRPr="005B6B97" w:rsidRDefault="005B6B97" w:rsidP="005B6B97">
      <w:pPr>
        <w:numPr>
          <w:ilvl w:val="0"/>
          <w:numId w:val="6"/>
        </w:numPr>
      </w:pPr>
      <w:r w:rsidRPr="005B6B97">
        <w:rPr>
          <w:b/>
          <w:bCs/>
        </w:rPr>
        <w:t>Unit 19:</w:t>
      </w:r>
      <w:r w:rsidRPr="005B6B97">
        <w:t xml:space="preserve"> Non-oral Routes of Administration, Injury &amp; </w:t>
      </w:r>
      <w:proofErr w:type="spellStart"/>
      <w:r w:rsidRPr="005B6B97">
        <w:t>Woundcare</w:t>
      </w:r>
      <w:proofErr w:type="spellEnd"/>
      <w:r w:rsidRPr="005B6B97">
        <w:t xml:space="preserve"> II, Premenstrual Syndrome, Computerised Decision-Support Tools.</w:t>
      </w:r>
    </w:p>
    <w:p w14:paraId="71725371" w14:textId="36114294" w:rsidR="005B6B97" w:rsidRPr="005B6B97" w:rsidRDefault="005B6B97" w:rsidP="005B6B97">
      <w:pPr>
        <w:numPr>
          <w:ilvl w:val="0"/>
          <w:numId w:val="6"/>
        </w:numPr>
      </w:pPr>
      <w:r w:rsidRPr="005B6B97">
        <w:rPr>
          <w:b/>
          <w:bCs/>
        </w:rPr>
        <w:t>Unit 20:</w:t>
      </w:r>
      <w:r w:rsidRPr="005B6B97">
        <w:t xml:space="preserve"> Supporting Patients During Specialist Homeopathic Treatment, The Second Prescription, Troubleshooting When a Well-Indicated Remedy Fails, Remedy Relationships.</w:t>
      </w:r>
    </w:p>
    <w:p w14:paraId="49F8065E" w14:textId="77777777" w:rsidR="005B6B97" w:rsidRPr="005B6B97" w:rsidRDefault="005B6B97" w:rsidP="005B6B97">
      <w:r w:rsidRPr="005B6B97">
        <w:pict w14:anchorId="3A8A506D">
          <v:rect id="_x0000_i1077" style="width:0;height:.75pt" o:hralign="center" o:hrstd="t" o:hr="t" fillcolor="#a0a0a0" stroked="f"/>
        </w:pict>
      </w:r>
    </w:p>
    <w:p w14:paraId="4B1928C7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Course Entry Requirements</w:t>
      </w:r>
    </w:p>
    <w:p w14:paraId="1F3E31F6" w14:textId="77777777" w:rsidR="005B6B97" w:rsidRPr="005B6B97" w:rsidRDefault="005B6B97" w:rsidP="005B6B97">
      <w:r w:rsidRPr="005B6B97">
        <w:t>Prospective students must meet the following baseline criteria:</w:t>
      </w:r>
    </w:p>
    <w:p w14:paraId="300F71C6" w14:textId="77C466F0" w:rsidR="005B6B97" w:rsidRPr="005B6B97" w:rsidRDefault="005B6B97" w:rsidP="005B6B97">
      <w:pPr>
        <w:numPr>
          <w:ilvl w:val="0"/>
          <w:numId w:val="7"/>
        </w:numPr>
      </w:pPr>
      <w:r w:rsidRPr="005B6B97">
        <w:rPr>
          <w:b/>
          <w:bCs/>
        </w:rPr>
        <w:t>Professional Status:</w:t>
      </w:r>
      <w:r w:rsidRPr="005B6B97">
        <w:t xml:space="preserve"> Candidates studying toward the </w:t>
      </w:r>
      <w:proofErr w:type="spellStart"/>
      <w:r w:rsidRPr="005B6B97">
        <w:t>LFHom</w:t>
      </w:r>
      <w:proofErr w:type="spellEnd"/>
      <w:r w:rsidRPr="005B6B97">
        <w:t xml:space="preserve"> qualification (Faculty of Homeopathy) must be registered healthcare professionals holding active membership in a statutorily registered professional or regulatory body. International learners must hold equivalent active registration within their country of residence.</w:t>
      </w:r>
    </w:p>
    <w:p w14:paraId="5B8C96BD" w14:textId="2FA1B47A" w:rsidR="005B6B97" w:rsidRPr="005B6B97" w:rsidRDefault="005B6B97" w:rsidP="005B6B97">
      <w:pPr>
        <w:numPr>
          <w:ilvl w:val="0"/>
          <w:numId w:val="7"/>
        </w:numPr>
      </w:pPr>
      <w:r w:rsidRPr="005B6B97">
        <w:rPr>
          <w:b/>
          <w:bCs/>
        </w:rPr>
        <w:t xml:space="preserve">Allied </w:t>
      </w:r>
      <w:r w:rsidR="00982BB3">
        <w:rPr>
          <w:b/>
          <w:bCs/>
        </w:rPr>
        <w:t>Professions</w:t>
      </w:r>
      <w:r w:rsidRPr="005B6B97">
        <w:rPr>
          <w:b/>
          <w:bCs/>
        </w:rPr>
        <w:t>:</w:t>
      </w:r>
      <w:r w:rsidRPr="005B6B97">
        <w:t xml:space="preserve"> Enrolled students in accredited healthcare programmes and professionals allied to medicine may be admitted at the discretion of the course director. </w:t>
      </w:r>
      <w:r w:rsidRPr="005B6B97">
        <w:rPr>
          <w:i/>
          <w:iCs/>
        </w:rPr>
        <w:t>Note: Admission does not automatically guarantee eligibility for examinations or final Faculty qualifications.</w:t>
      </w:r>
    </w:p>
    <w:p w14:paraId="3B7FBA62" w14:textId="475BE66B" w:rsidR="005B6B97" w:rsidRPr="005B6B97" w:rsidRDefault="005B6B97" w:rsidP="005B6B97">
      <w:pPr>
        <w:numPr>
          <w:ilvl w:val="0"/>
          <w:numId w:val="7"/>
        </w:numPr>
      </w:pPr>
      <w:r w:rsidRPr="005B6B97">
        <w:rPr>
          <w:b/>
          <w:bCs/>
        </w:rPr>
        <w:t>Language Proficiency:</w:t>
      </w:r>
      <w:r w:rsidRPr="005B6B97">
        <w:t xml:space="preserve"> English language proficiency </w:t>
      </w:r>
      <w:r w:rsidR="00272EB0">
        <w:t>at</w:t>
      </w:r>
      <w:r w:rsidRPr="005B6B97">
        <w:t xml:space="preserve"> </w:t>
      </w:r>
      <w:r w:rsidRPr="005B6B97">
        <w:rPr>
          <w:b/>
          <w:bCs/>
        </w:rPr>
        <w:t>IELTS 6.0</w:t>
      </w:r>
      <w:r w:rsidRPr="005B6B97">
        <w:t xml:space="preserve"> or above is re</w:t>
      </w:r>
      <w:r w:rsidR="00982BB3">
        <w:t>commended</w:t>
      </w:r>
      <w:r w:rsidRPr="005B6B97">
        <w:t xml:space="preserve"> for all learners.</w:t>
      </w:r>
    </w:p>
    <w:p w14:paraId="6C1807E8" w14:textId="77777777" w:rsidR="00982BB3" w:rsidRDefault="00982BB3" w:rsidP="005B6B97">
      <w:r>
        <w:br w:type="page"/>
      </w:r>
    </w:p>
    <w:p w14:paraId="2E1E26C2" w14:textId="077D46F6" w:rsidR="005B6B97" w:rsidRPr="005B6B97" w:rsidRDefault="005B6B97" w:rsidP="005B6B97">
      <w:r w:rsidRPr="005B6B97">
        <w:lastRenderedPageBreak/>
        <w:pict w14:anchorId="673C26A2">
          <v:rect id="_x0000_i1078" style="width:0;height:.75pt" o:hralign="center" o:hrstd="t" o:hr="t" fillcolor="#a0a0a0" stroked="f"/>
        </w:pict>
      </w:r>
    </w:p>
    <w:p w14:paraId="55C19C32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Learning Assessment &amp; Qualifications</w:t>
      </w:r>
    </w:p>
    <w:p w14:paraId="7F91FB15" w14:textId="024FCA2F" w:rsidR="005B6B97" w:rsidRPr="005B6B97" w:rsidRDefault="005B6B97" w:rsidP="005B6B97">
      <w:r w:rsidRPr="005B6B97">
        <w:t>Learning is reinforced continuously through text-based reflective activities, video integration exercises, and self-assessment questions (SAQs).</w:t>
      </w:r>
    </w:p>
    <w:p w14:paraId="1E5A5B6D" w14:textId="59A6502C" w:rsidR="005B6B97" w:rsidRPr="005B6B97" w:rsidRDefault="005B6B97" w:rsidP="005B6B97">
      <w:r w:rsidRPr="005B6B97">
        <w:rPr>
          <w:i/>
          <w:iCs/>
        </w:rPr>
        <w:t>Note: Tutor Marked Assignments (TMAs) and Course-Based Assessments are not utilized at the Foundation level.</w:t>
      </w:r>
      <w:r w:rsidRPr="005B6B97">
        <w:t xml:space="preserve"> Final assessment and qualification are achieved through an </w:t>
      </w:r>
      <w:r w:rsidRPr="005B6B97">
        <w:rPr>
          <w:b/>
          <w:bCs/>
        </w:rPr>
        <w:t>online multiple-choice question (MCQ) examination</w:t>
      </w:r>
      <w:r w:rsidRPr="005B6B97">
        <w:t>, organized in direct partnership with the Faculty of Homeopathy.</w:t>
      </w:r>
    </w:p>
    <w:p w14:paraId="0B7235C0" w14:textId="77777777" w:rsidR="005B6B97" w:rsidRPr="005B6B97" w:rsidRDefault="005B6B97" w:rsidP="005B6B97">
      <w:r w:rsidRPr="005B6B97">
        <w:pict w14:anchorId="09A3082B">
          <v:rect id="_x0000_i1079" style="width:0;height:.75pt" o:hralign="center" o:hrstd="t" o:hr="t" fillcolor="#a0a0a0" stroked="f"/>
        </w:pict>
      </w:r>
    </w:p>
    <w:p w14:paraId="3784AF5D" w14:textId="77777777" w:rsidR="005B6B97" w:rsidRPr="00982BB3" w:rsidRDefault="005B6B97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Admissions Contact Information</w:t>
      </w:r>
    </w:p>
    <w:p w14:paraId="7848477E" w14:textId="2E6A971C" w:rsidR="005B6B97" w:rsidRPr="005B6B97" w:rsidRDefault="005B6B97" w:rsidP="005B6B97">
      <w:r w:rsidRPr="005B6B97">
        <w:t>For administrative queries, learning accounts, or course organization, please reach out to our team:</w:t>
      </w:r>
    </w:p>
    <w:p w14:paraId="07EB9C45" w14:textId="28BAA55B" w:rsidR="005B6B97" w:rsidRPr="005B6B97" w:rsidRDefault="005B6B97" w:rsidP="005B6B97">
      <w:pPr>
        <w:numPr>
          <w:ilvl w:val="0"/>
          <w:numId w:val="8"/>
        </w:numPr>
      </w:pPr>
      <w:r w:rsidRPr="005B6B97">
        <w:rPr>
          <w:b/>
          <w:bCs/>
        </w:rPr>
        <w:t>Online Programme Administrator:</w:t>
      </w:r>
      <w:r w:rsidRPr="005B6B97">
        <w:t xml:space="preserve"> Veronique Malcol</w:t>
      </w:r>
      <w:r w:rsidR="00982BB3">
        <w:t>m</w:t>
      </w:r>
    </w:p>
    <w:p w14:paraId="74D6C154" w14:textId="0649A318" w:rsidR="005B6B97" w:rsidRPr="005B6B97" w:rsidRDefault="005B6B97" w:rsidP="005B6B97">
      <w:pPr>
        <w:numPr>
          <w:ilvl w:val="0"/>
          <w:numId w:val="8"/>
        </w:numPr>
      </w:pPr>
      <w:r w:rsidRPr="005B6B97">
        <w:rPr>
          <w:b/>
          <w:bCs/>
        </w:rPr>
        <w:t>Administrative Email:</w:t>
      </w:r>
      <w:r w:rsidRPr="005B6B97">
        <w:t xml:space="preserve"> cimt-admin@protonmail.com / rlhh.education@gmail.com</w:t>
      </w:r>
    </w:p>
    <w:p w14:paraId="6DC3B18B" w14:textId="2A441FEF" w:rsidR="005B6B97" w:rsidRPr="005B6B97" w:rsidRDefault="005B6B97" w:rsidP="005B6B97">
      <w:pPr>
        <w:numPr>
          <w:ilvl w:val="0"/>
          <w:numId w:val="8"/>
        </w:numPr>
      </w:pPr>
      <w:r w:rsidRPr="005B6B97">
        <w:rPr>
          <w:b/>
          <w:bCs/>
        </w:rPr>
        <w:t>Telephone Support:</w:t>
      </w:r>
      <w:r w:rsidRPr="005B6B97">
        <w:t xml:space="preserve"> +44 (0) 1382 553992</w:t>
      </w:r>
    </w:p>
    <w:p w14:paraId="077F0F6B" w14:textId="1289D158" w:rsidR="005B6B97" w:rsidRPr="005B6B97" w:rsidRDefault="005B6B97" w:rsidP="005B6B97">
      <w:pPr>
        <w:numPr>
          <w:ilvl w:val="0"/>
          <w:numId w:val="8"/>
        </w:numPr>
      </w:pPr>
      <w:r w:rsidRPr="005B6B97">
        <w:rPr>
          <w:b/>
          <w:bCs/>
        </w:rPr>
        <w:t>Availability:</w:t>
      </w:r>
      <w:r w:rsidRPr="005B6B97">
        <w:t xml:space="preserve"> Weekdays</w:t>
      </w:r>
    </w:p>
    <w:p w14:paraId="307F4155" w14:textId="77777777" w:rsidR="005B6B97" w:rsidRPr="005B6B97" w:rsidRDefault="005B6B97" w:rsidP="005B6B97">
      <w:r w:rsidRPr="005B6B97">
        <w:pict w14:anchorId="4E7D2200">
          <v:rect id="_x0000_i1080" style="width:0;height:.75pt" o:hralign="center" o:hrstd="t" o:hr="t" fillcolor="#a0a0a0" stroked="f"/>
        </w:pict>
      </w:r>
    </w:p>
    <w:p w14:paraId="7250BB01" w14:textId="77777777" w:rsidR="00982BB3" w:rsidRPr="00982BB3" w:rsidRDefault="005B6B97" w:rsidP="005B6B97">
      <w:pPr>
        <w:rPr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>Medical Disclaimer:</w:t>
      </w:r>
      <w:r w:rsidRPr="00982BB3">
        <w:rPr>
          <w:color w:val="275317" w:themeColor="accent6" w:themeShade="80"/>
        </w:rPr>
        <w:t xml:space="preserve"> </w:t>
      </w:r>
    </w:p>
    <w:p w14:paraId="08744EAF" w14:textId="70FB4346" w:rsidR="00982BB3" w:rsidRDefault="005B6B97" w:rsidP="005B6B97">
      <w:pPr>
        <w:rPr>
          <w:i/>
          <w:iCs/>
        </w:rPr>
      </w:pPr>
      <w:r w:rsidRPr="005B6B97">
        <w:rPr>
          <w:i/>
          <w:iCs/>
        </w:rPr>
        <w:t xml:space="preserve">The information provided from this prospectus is for general educational and promotional purposes only. </w:t>
      </w:r>
    </w:p>
    <w:p w14:paraId="1CFA1BF8" w14:textId="1A24FE09" w:rsidR="005B6B97" w:rsidRPr="005B6B97" w:rsidRDefault="005B6B97" w:rsidP="005B6B97">
      <w:r w:rsidRPr="005B6B97">
        <w:rPr>
          <w:i/>
          <w:iCs/>
        </w:rPr>
        <w:t>Homeopathic training programmes are intended for qualified</w:t>
      </w:r>
      <w:r w:rsidR="00982BB3">
        <w:rPr>
          <w:i/>
          <w:iCs/>
        </w:rPr>
        <w:t xml:space="preserve"> health care</w:t>
      </w:r>
      <w:r w:rsidRPr="005B6B97">
        <w:rPr>
          <w:i/>
          <w:iCs/>
        </w:rPr>
        <w:t xml:space="preserve"> professionals and should </w:t>
      </w:r>
      <w:r w:rsidR="00982BB3">
        <w:rPr>
          <w:i/>
          <w:iCs/>
        </w:rPr>
        <w:t>be understood in the context of</w:t>
      </w:r>
      <w:r w:rsidRPr="005B6B97">
        <w:rPr>
          <w:i/>
          <w:iCs/>
        </w:rPr>
        <w:t xml:space="preserve"> conventional clinical guidelines </w:t>
      </w:r>
      <w:r w:rsidR="00982BB3">
        <w:rPr>
          <w:i/>
          <w:iCs/>
        </w:rPr>
        <w:t>and</w:t>
      </w:r>
      <w:r w:rsidRPr="005B6B97">
        <w:rPr>
          <w:i/>
          <w:iCs/>
        </w:rPr>
        <w:t xml:space="preserve"> certified medical training.</w:t>
      </w:r>
    </w:p>
    <w:p w14:paraId="4864B78F" w14:textId="6D5A328D" w:rsidR="00982BB3" w:rsidRDefault="00982BB3" w:rsidP="005B6B97">
      <w:r>
        <w:rPr>
          <w:b/>
          <w:bCs/>
          <w:noProof/>
          <w:color w:val="4EA72E" w:themeColor="accent6"/>
        </w:rPr>
        <w:drawing>
          <wp:anchor distT="0" distB="0" distL="114300" distR="114300" simplePos="0" relativeHeight="251658240" behindDoc="0" locked="0" layoutInCell="1" allowOverlap="1" wp14:anchorId="38523180" wp14:editId="1E552C1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03960" cy="1706115"/>
            <wp:effectExtent l="0" t="0" r="0" b="8890"/>
            <wp:wrapThrough wrapText="bothSides">
              <wp:wrapPolygon edited="0">
                <wp:start x="0" y="0"/>
                <wp:lineTo x="0" y="21471"/>
                <wp:lineTo x="21190" y="21471"/>
                <wp:lineTo x="21190" y="0"/>
                <wp:lineTo x="0" y="0"/>
              </wp:wrapPolygon>
            </wp:wrapThrough>
            <wp:docPr id="4570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4520" name="Picture 457045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70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CE100" w14:textId="30153D20" w:rsidR="005B6B97" w:rsidRDefault="00982BB3" w:rsidP="005B6B97">
      <w:pPr>
        <w:rPr>
          <w:b/>
          <w:bCs/>
          <w:color w:val="275317" w:themeColor="accent6" w:themeShade="80"/>
        </w:rPr>
      </w:pPr>
      <w:r w:rsidRPr="00982BB3">
        <w:rPr>
          <w:b/>
          <w:bCs/>
          <w:color w:val="275317" w:themeColor="accent6" w:themeShade="80"/>
        </w:rPr>
        <w:t xml:space="preserve">For details on how to register for the September 2026 intake, please email us at: </w:t>
      </w:r>
      <w:hyperlink r:id="rId6" w:history="1">
        <w:r w:rsidRPr="00944CB6">
          <w:rPr>
            <w:rStyle w:val="Hyperlink"/>
            <w:b/>
            <w:bCs/>
            <w:color w:val="233C43" w:themeColor="hyperlink" w:themeShade="80"/>
          </w:rPr>
          <w:t>rlhh.education@gmail.com</w:t>
        </w:r>
      </w:hyperlink>
    </w:p>
    <w:p w14:paraId="575EAE97" w14:textId="77777777" w:rsidR="006A73E5" w:rsidRDefault="006A73E5" w:rsidP="005B6B97">
      <w:pPr>
        <w:rPr>
          <w:b/>
          <w:bCs/>
          <w:color w:val="275317" w:themeColor="accent6" w:themeShade="80"/>
        </w:rPr>
      </w:pPr>
    </w:p>
    <w:p w14:paraId="3DDED69E" w14:textId="116870DA" w:rsidR="006A73E5" w:rsidRPr="007E23BA" w:rsidRDefault="006A73E5" w:rsidP="002346A7">
      <w:pPr>
        <w:spacing w:after="0"/>
        <w:rPr>
          <w:b/>
          <w:bCs/>
          <w:color w:val="0A2F41" w:themeColor="accent1" w:themeShade="80"/>
        </w:rPr>
      </w:pPr>
      <w:r w:rsidRPr="007E23BA">
        <w:rPr>
          <w:b/>
          <w:bCs/>
          <w:color w:val="0A2F41" w:themeColor="accent1" w:themeShade="80"/>
        </w:rPr>
        <w:t>Those interested in progressing to Full Faculty Membership</w:t>
      </w:r>
    </w:p>
    <w:p w14:paraId="0EB2923A" w14:textId="3C656FAC" w:rsidR="006A73E5" w:rsidRPr="007E23BA" w:rsidRDefault="007E23BA" w:rsidP="002346A7">
      <w:pPr>
        <w:spacing w:after="0"/>
        <w:rPr>
          <w:b/>
          <w:bCs/>
          <w:color w:val="0A2F41" w:themeColor="accent1" w:themeShade="80"/>
        </w:rPr>
      </w:pPr>
      <w:r w:rsidRPr="007E23BA">
        <w:rPr>
          <w:b/>
          <w:bCs/>
          <w:color w:val="0A2F41" w:themeColor="accent1" w:themeShade="80"/>
        </w:rPr>
        <w:t>S</w:t>
      </w:r>
      <w:r w:rsidR="006A73E5" w:rsidRPr="007E23BA">
        <w:rPr>
          <w:b/>
          <w:bCs/>
          <w:color w:val="0A2F41" w:themeColor="accent1" w:themeShade="80"/>
        </w:rPr>
        <w:t>houl</w:t>
      </w:r>
      <w:r w:rsidRPr="007E23BA">
        <w:rPr>
          <w:b/>
          <w:bCs/>
          <w:color w:val="0A2F41" w:themeColor="accent1" w:themeShade="80"/>
        </w:rPr>
        <w:t>d request a copy of our Post Foundation Curriculum.</w:t>
      </w:r>
    </w:p>
    <w:p w14:paraId="75A8F1F0" w14:textId="0AD909D3" w:rsidR="00982BB3" w:rsidRDefault="00982BB3" w:rsidP="005B6B97">
      <w:pPr>
        <w:rPr>
          <w:b/>
          <w:bCs/>
          <w:color w:val="275317" w:themeColor="accent6" w:themeShade="80"/>
        </w:rPr>
      </w:pPr>
    </w:p>
    <w:p w14:paraId="45323357" w14:textId="651244D9" w:rsidR="00982BB3" w:rsidRPr="00982BB3" w:rsidRDefault="00982BB3" w:rsidP="005B6B97">
      <w:pPr>
        <w:rPr>
          <w:b/>
          <w:bCs/>
          <w:color w:val="275317" w:themeColor="accent6" w:themeShade="80"/>
        </w:rPr>
      </w:pPr>
    </w:p>
    <w:p w14:paraId="4C828FF9" w14:textId="77777777" w:rsidR="000F6985" w:rsidRDefault="000F6985"/>
    <w:sectPr w:rsidR="000F6985" w:rsidSect="005B6B97"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DFD"/>
    <w:multiLevelType w:val="multilevel"/>
    <w:tmpl w:val="37F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A1555"/>
    <w:multiLevelType w:val="multilevel"/>
    <w:tmpl w:val="3B3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04A0B"/>
    <w:multiLevelType w:val="multilevel"/>
    <w:tmpl w:val="76F4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123E9"/>
    <w:multiLevelType w:val="multilevel"/>
    <w:tmpl w:val="C202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838E7"/>
    <w:multiLevelType w:val="multilevel"/>
    <w:tmpl w:val="511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51673"/>
    <w:multiLevelType w:val="multilevel"/>
    <w:tmpl w:val="F8C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A7C31"/>
    <w:multiLevelType w:val="multilevel"/>
    <w:tmpl w:val="919C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B03AC"/>
    <w:multiLevelType w:val="multilevel"/>
    <w:tmpl w:val="FA80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497199">
    <w:abstractNumId w:val="2"/>
  </w:num>
  <w:num w:numId="2" w16cid:durableId="1161116636">
    <w:abstractNumId w:val="0"/>
  </w:num>
  <w:num w:numId="3" w16cid:durableId="2111504778">
    <w:abstractNumId w:val="3"/>
  </w:num>
  <w:num w:numId="4" w16cid:durableId="1526602680">
    <w:abstractNumId w:val="4"/>
  </w:num>
  <w:num w:numId="5" w16cid:durableId="385570550">
    <w:abstractNumId w:val="1"/>
  </w:num>
  <w:num w:numId="6" w16cid:durableId="1439834155">
    <w:abstractNumId w:val="7"/>
  </w:num>
  <w:num w:numId="7" w16cid:durableId="1882092679">
    <w:abstractNumId w:val="6"/>
  </w:num>
  <w:num w:numId="8" w16cid:durableId="1256669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97"/>
    <w:rsid w:val="000F6985"/>
    <w:rsid w:val="002346A7"/>
    <w:rsid w:val="00272EB0"/>
    <w:rsid w:val="004D555D"/>
    <w:rsid w:val="005B6B97"/>
    <w:rsid w:val="006A73E5"/>
    <w:rsid w:val="007E23BA"/>
    <w:rsid w:val="00982BB3"/>
    <w:rsid w:val="00E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C21"/>
  <w15:chartTrackingRefBased/>
  <w15:docId w15:val="{798BE627-EB13-47FC-A339-5DAF091A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B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B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hh.educat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Malcolm</dc:creator>
  <cp:keywords/>
  <dc:description/>
  <cp:lastModifiedBy>Russell Malcolm</cp:lastModifiedBy>
  <cp:revision>4</cp:revision>
  <dcterms:created xsi:type="dcterms:W3CDTF">2026-05-12T16:08:00Z</dcterms:created>
  <dcterms:modified xsi:type="dcterms:W3CDTF">2026-05-12T16:37:00Z</dcterms:modified>
</cp:coreProperties>
</file>